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CC" w:rsidRPr="009742CC" w:rsidRDefault="009742CC" w:rsidP="009742CC">
      <w:pPr>
        <w:jc w:val="center"/>
      </w:pPr>
      <w:r>
        <w:rPr>
          <w:noProof/>
          <w:lang w:eastAsia="bg-BG"/>
        </w:rPr>
        <w:drawing>
          <wp:inline distT="0" distB="0" distL="0" distR="0" wp14:anchorId="68981DDF" wp14:editId="2EBEF304">
            <wp:extent cx="622300" cy="438785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</w:t>
      </w:r>
      <w:r>
        <w:rPr>
          <w:noProof/>
          <w:lang w:eastAsia="bg-BG"/>
        </w:rPr>
        <w:drawing>
          <wp:inline distT="0" distB="0" distL="0" distR="0" wp14:anchorId="6E7DB5B8" wp14:editId="67B148CE">
            <wp:extent cx="554990" cy="4013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401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</w:t>
      </w:r>
      <w:r>
        <w:rPr>
          <w:noProof/>
          <w:lang w:eastAsia="bg-BG"/>
        </w:rPr>
        <w:drawing>
          <wp:inline distT="0" distB="0" distL="0" distR="0" wp14:anchorId="1742F582" wp14:editId="7ED13A90">
            <wp:extent cx="238760" cy="409575"/>
            <wp:effectExtent l="0" t="0" r="8890" b="9525"/>
            <wp:docPr id="1" name="Picture 1" descr="Лого-МИ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ого-МИГ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</w:t>
      </w:r>
      <w:r>
        <w:rPr>
          <w:noProof/>
          <w:lang w:eastAsia="bg-BG"/>
        </w:rPr>
        <w:drawing>
          <wp:inline distT="0" distB="0" distL="0" distR="0" wp14:anchorId="3BC0AB50" wp14:editId="6978DF6C">
            <wp:extent cx="502285" cy="4089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408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</w:t>
      </w:r>
      <w:r>
        <w:rPr>
          <w:noProof/>
          <w:lang w:eastAsia="bg-BG"/>
        </w:rPr>
        <w:drawing>
          <wp:inline distT="0" distB="0" distL="0" distR="0" wp14:anchorId="5D201763" wp14:editId="332E130C">
            <wp:extent cx="838835" cy="3689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36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42CC" w:rsidRPr="00BC5838" w:rsidRDefault="009742CC" w:rsidP="00B12802">
      <w:pPr>
        <w:spacing w:after="120" w:line="240" w:lineRule="atLeast"/>
        <w:jc w:val="center"/>
        <w:rPr>
          <w:sz w:val="18"/>
          <w:szCs w:val="18"/>
          <w:lang w:val="en-US"/>
        </w:rPr>
      </w:pPr>
      <w:proofErr w:type="gramStart"/>
      <w:r w:rsidRPr="00BC5838">
        <w:rPr>
          <w:sz w:val="18"/>
          <w:szCs w:val="18"/>
          <w:lang w:val="en-US"/>
        </w:rPr>
        <w:t>ЕВРОПА  ИНВЕСТИРА</w:t>
      </w:r>
      <w:proofErr w:type="gramEnd"/>
      <w:r w:rsidRPr="00BC5838">
        <w:rPr>
          <w:sz w:val="18"/>
          <w:szCs w:val="18"/>
          <w:lang w:val="en-US"/>
        </w:rPr>
        <w:t xml:space="preserve">  В  СЕЛСКИТЕ РАЙОНИ</w:t>
      </w:r>
    </w:p>
    <w:p w:rsidR="009742CC" w:rsidRPr="00BC5838" w:rsidRDefault="009742CC" w:rsidP="00B12802">
      <w:pPr>
        <w:spacing w:after="120" w:line="240" w:lineRule="atLeast"/>
        <w:jc w:val="center"/>
        <w:rPr>
          <w:sz w:val="18"/>
          <w:szCs w:val="18"/>
          <w:lang w:val="en-US"/>
        </w:rPr>
      </w:pPr>
      <w:proofErr w:type="spellStart"/>
      <w:r w:rsidRPr="00BC5838">
        <w:rPr>
          <w:sz w:val="18"/>
          <w:szCs w:val="18"/>
          <w:lang w:val="en-US"/>
        </w:rPr>
        <w:t>Европейския</w:t>
      </w:r>
      <w:proofErr w:type="spellEnd"/>
      <w:r w:rsidRPr="00BC5838">
        <w:rPr>
          <w:sz w:val="18"/>
          <w:szCs w:val="18"/>
          <w:lang w:val="en-US"/>
        </w:rPr>
        <w:t xml:space="preserve">   </w:t>
      </w:r>
      <w:proofErr w:type="spellStart"/>
      <w:r w:rsidRPr="00BC5838">
        <w:rPr>
          <w:sz w:val="18"/>
          <w:szCs w:val="18"/>
          <w:lang w:val="en-US"/>
        </w:rPr>
        <w:t>земеделски</w:t>
      </w:r>
      <w:proofErr w:type="spellEnd"/>
      <w:r w:rsidRPr="00BC5838">
        <w:rPr>
          <w:sz w:val="18"/>
          <w:szCs w:val="18"/>
          <w:lang w:val="en-US"/>
        </w:rPr>
        <w:t xml:space="preserve">   </w:t>
      </w:r>
      <w:proofErr w:type="spellStart"/>
      <w:r w:rsidRPr="00BC5838">
        <w:rPr>
          <w:sz w:val="18"/>
          <w:szCs w:val="18"/>
          <w:lang w:val="en-US"/>
        </w:rPr>
        <w:t>фонд</w:t>
      </w:r>
      <w:proofErr w:type="spellEnd"/>
      <w:r w:rsidRPr="00BC5838">
        <w:rPr>
          <w:sz w:val="18"/>
          <w:szCs w:val="18"/>
          <w:lang w:val="en-US"/>
        </w:rPr>
        <w:t xml:space="preserve">   </w:t>
      </w:r>
      <w:proofErr w:type="spellStart"/>
      <w:r w:rsidRPr="00BC5838">
        <w:rPr>
          <w:sz w:val="18"/>
          <w:szCs w:val="18"/>
          <w:lang w:val="en-US"/>
        </w:rPr>
        <w:t>за</w:t>
      </w:r>
      <w:proofErr w:type="spellEnd"/>
      <w:r w:rsidRPr="00BC5838">
        <w:rPr>
          <w:sz w:val="18"/>
          <w:szCs w:val="18"/>
          <w:lang w:val="en-US"/>
        </w:rPr>
        <w:t xml:space="preserve">   </w:t>
      </w:r>
      <w:proofErr w:type="spellStart"/>
      <w:r w:rsidRPr="00BC5838">
        <w:rPr>
          <w:sz w:val="18"/>
          <w:szCs w:val="18"/>
          <w:lang w:val="en-US"/>
        </w:rPr>
        <w:t>развитие</w:t>
      </w:r>
      <w:proofErr w:type="spellEnd"/>
      <w:r w:rsidRPr="00BC5838">
        <w:rPr>
          <w:sz w:val="18"/>
          <w:szCs w:val="18"/>
          <w:lang w:val="en-US"/>
        </w:rPr>
        <w:t xml:space="preserve">   </w:t>
      </w:r>
      <w:proofErr w:type="spellStart"/>
      <w:r w:rsidRPr="00BC5838">
        <w:rPr>
          <w:sz w:val="18"/>
          <w:szCs w:val="18"/>
          <w:lang w:val="en-US"/>
        </w:rPr>
        <w:t>на</w:t>
      </w:r>
      <w:proofErr w:type="spellEnd"/>
      <w:r w:rsidRPr="00BC5838">
        <w:rPr>
          <w:sz w:val="18"/>
          <w:szCs w:val="18"/>
          <w:lang w:val="en-US"/>
        </w:rPr>
        <w:t xml:space="preserve">   </w:t>
      </w:r>
      <w:proofErr w:type="spellStart"/>
      <w:r w:rsidRPr="00BC5838">
        <w:rPr>
          <w:sz w:val="18"/>
          <w:szCs w:val="18"/>
          <w:lang w:val="en-US"/>
        </w:rPr>
        <w:t>селските</w:t>
      </w:r>
      <w:proofErr w:type="spellEnd"/>
      <w:r w:rsidRPr="00BC5838">
        <w:rPr>
          <w:sz w:val="18"/>
          <w:szCs w:val="18"/>
          <w:lang w:val="en-US"/>
        </w:rPr>
        <w:t xml:space="preserve">   </w:t>
      </w:r>
      <w:proofErr w:type="spellStart"/>
      <w:r w:rsidRPr="00BC5838">
        <w:rPr>
          <w:sz w:val="18"/>
          <w:szCs w:val="18"/>
          <w:lang w:val="en-US"/>
        </w:rPr>
        <w:t>райони</w:t>
      </w:r>
      <w:proofErr w:type="spellEnd"/>
    </w:p>
    <w:p w:rsidR="009742CC" w:rsidRPr="00BC5838" w:rsidRDefault="009742CC" w:rsidP="00B12802">
      <w:pPr>
        <w:spacing w:after="120" w:line="240" w:lineRule="atLeast"/>
        <w:jc w:val="center"/>
        <w:rPr>
          <w:sz w:val="18"/>
          <w:szCs w:val="18"/>
          <w:lang w:val="en-US"/>
        </w:rPr>
      </w:pPr>
      <w:proofErr w:type="spellStart"/>
      <w:proofErr w:type="gramStart"/>
      <w:r w:rsidRPr="00BC5838">
        <w:rPr>
          <w:sz w:val="18"/>
          <w:szCs w:val="18"/>
          <w:lang w:val="en-US"/>
        </w:rPr>
        <w:t>Програма</w:t>
      </w:r>
      <w:proofErr w:type="spellEnd"/>
      <w:r w:rsidRPr="00BC5838">
        <w:rPr>
          <w:sz w:val="18"/>
          <w:szCs w:val="18"/>
          <w:lang w:val="en-US"/>
        </w:rPr>
        <w:t xml:space="preserve">  </w:t>
      </w:r>
      <w:proofErr w:type="spellStart"/>
      <w:r w:rsidRPr="00BC5838">
        <w:rPr>
          <w:sz w:val="18"/>
          <w:szCs w:val="18"/>
          <w:lang w:val="en-US"/>
        </w:rPr>
        <w:t>за</w:t>
      </w:r>
      <w:proofErr w:type="spellEnd"/>
      <w:proofErr w:type="gramEnd"/>
      <w:r w:rsidRPr="00BC5838">
        <w:rPr>
          <w:sz w:val="18"/>
          <w:szCs w:val="18"/>
          <w:lang w:val="en-US"/>
        </w:rPr>
        <w:t xml:space="preserve">  </w:t>
      </w:r>
      <w:proofErr w:type="spellStart"/>
      <w:r w:rsidRPr="00BC5838">
        <w:rPr>
          <w:sz w:val="18"/>
          <w:szCs w:val="18"/>
          <w:lang w:val="en-US"/>
        </w:rPr>
        <w:t>развитие</w:t>
      </w:r>
      <w:proofErr w:type="spellEnd"/>
      <w:r w:rsidRPr="00BC5838">
        <w:rPr>
          <w:sz w:val="18"/>
          <w:szCs w:val="18"/>
          <w:lang w:val="en-US"/>
        </w:rPr>
        <w:t xml:space="preserve">  </w:t>
      </w:r>
      <w:proofErr w:type="spellStart"/>
      <w:r w:rsidRPr="00BC5838">
        <w:rPr>
          <w:sz w:val="18"/>
          <w:szCs w:val="18"/>
          <w:lang w:val="en-US"/>
        </w:rPr>
        <w:t>на</w:t>
      </w:r>
      <w:proofErr w:type="spellEnd"/>
      <w:r w:rsidRPr="00BC5838">
        <w:rPr>
          <w:sz w:val="18"/>
          <w:szCs w:val="18"/>
          <w:lang w:val="en-US"/>
        </w:rPr>
        <w:t xml:space="preserve">  </w:t>
      </w:r>
      <w:proofErr w:type="spellStart"/>
      <w:r w:rsidRPr="00BC5838">
        <w:rPr>
          <w:sz w:val="18"/>
          <w:szCs w:val="18"/>
          <w:lang w:val="en-US"/>
        </w:rPr>
        <w:t>селските</w:t>
      </w:r>
      <w:proofErr w:type="spellEnd"/>
      <w:r w:rsidRPr="00BC5838">
        <w:rPr>
          <w:sz w:val="18"/>
          <w:szCs w:val="18"/>
          <w:lang w:val="en-US"/>
        </w:rPr>
        <w:t xml:space="preserve">  </w:t>
      </w:r>
      <w:proofErr w:type="spellStart"/>
      <w:r w:rsidRPr="00BC5838">
        <w:rPr>
          <w:sz w:val="18"/>
          <w:szCs w:val="18"/>
          <w:lang w:val="en-US"/>
        </w:rPr>
        <w:t>райони</w:t>
      </w:r>
      <w:proofErr w:type="spellEnd"/>
      <w:r w:rsidRPr="00BC5838">
        <w:rPr>
          <w:sz w:val="18"/>
          <w:szCs w:val="18"/>
          <w:lang w:val="en-US"/>
        </w:rPr>
        <w:t xml:space="preserve">  2014 – 2020г</w:t>
      </w:r>
    </w:p>
    <w:p w:rsidR="009742CC" w:rsidRDefault="009742CC" w:rsidP="009742CC">
      <w:pPr>
        <w:rPr>
          <w:sz w:val="18"/>
          <w:szCs w:val="18"/>
        </w:rPr>
      </w:pPr>
    </w:p>
    <w:p w:rsidR="00694870" w:rsidRDefault="00694870" w:rsidP="009742CC">
      <w:pPr>
        <w:rPr>
          <w:sz w:val="18"/>
          <w:szCs w:val="18"/>
        </w:rPr>
      </w:pPr>
    </w:p>
    <w:p w:rsidR="004A557A" w:rsidRDefault="00694870" w:rsidP="009742C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306C7">
        <w:rPr>
          <w:rFonts w:ascii="Times New Roman" w:hAnsi="Times New Roman" w:cs="Times New Roman"/>
          <w:sz w:val="24"/>
          <w:szCs w:val="24"/>
        </w:rPr>
        <w:t>Утвърдил</w:t>
      </w:r>
      <w:r w:rsidR="004A557A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694870" w:rsidRPr="004A557A" w:rsidRDefault="001306C7" w:rsidP="00974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 на УС</w:t>
      </w:r>
      <w:r w:rsidR="004A5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557A">
        <w:rPr>
          <w:rFonts w:ascii="Times New Roman" w:hAnsi="Times New Roman" w:cs="Times New Roman"/>
          <w:sz w:val="24"/>
          <w:szCs w:val="24"/>
        </w:rPr>
        <w:t>/п/</w:t>
      </w:r>
    </w:p>
    <w:p w:rsidR="00694870" w:rsidRPr="001306C7" w:rsidRDefault="004A557A" w:rsidP="00974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№2 от Протокол №3/11.06.2018</w:t>
      </w:r>
    </w:p>
    <w:p w:rsidR="007D6365" w:rsidRDefault="007D6365" w:rsidP="00E57D92">
      <w:pPr>
        <w:pStyle w:val="ListParagraph"/>
        <w:autoSpaceDE w:val="0"/>
        <w:autoSpaceDN w:val="0"/>
        <w:adjustRightInd w:val="0"/>
        <w:spacing w:after="0" w:line="23" w:lineRule="atLeast"/>
        <w:ind w:left="0"/>
        <w:jc w:val="center"/>
        <w:rPr>
          <w:rFonts w:ascii="Times New Roman" w:hAnsi="Times New Roman"/>
          <w:b/>
          <w:noProof/>
          <w:sz w:val="24"/>
          <w:szCs w:val="24"/>
          <w:lang w:val="bg-BG"/>
        </w:rPr>
      </w:pPr>
    </w:p>
    <w:p w:rsidR="009742CC" w:rsidRDefault="009742CC" w:rsidP="00E57D92">
      <w:pPr>
        <w:pStyle w:val="ListParagraph"/>
        <w:autoSpaceDE w:val="0"/>
        <w:autoSpaceDN w:val="0"/>
        <w:adjustRightInd w:val="0"/>
        <w:spacing w:after="0" w:line="23" w:lineRule="atLeast"/>
        <w:ind w:left="0"/>
        <w:jc w:val="center"/>
        <w:rPr>
          <w:rFonts w:ascii="Times New Roman" w:hAnsi="Times New Roman"/>
          <w:b/>
          <w:noProof/>
          <w:sz w:val="24"/>
          <w:szCs w:val="24"/>
          <w:lang w:val="bg-BG"/>
        </w:rPr>
      </w:pPr>
    </w:p>
    <w:p w:rsidR="009742CC" w:rsidRDefault="009742CC" w:rsidP="00E57D92">
      <w:pPr>
        <w:pStyle w:val="ListParagraph"/>
        <w:autoSpaceDE w:val="0"/>
        <w:autoSpaceDN w:val="0"/>
        <w:adjustRightInd w:val="0"/>
        <w:spacing w:after="0" w:line="23" w:lineRule="atLeast"/>
        <w:ind w:left="0"/>
        <w:jc w:val="center"/>
        <w:rPr>
          <w:rFonts w:ascii="Times New Roman" w:hAnsi="Times New Roman"/>
          <w:b/>
          <w:noProof/>
          <w:sz w:val="24"/>
          <w:szCs w:val="24"/>
          <w:lang w:val="bg-BG"/>
        </w:rPr>
      </w:pPr>
    </w:p>
    <w:p w:rsidR="00E57D92" w:rsidRPr="00E57D92" w:rsidRDefault="00E57D92" w:rsidP="00E57D92">
      <w:pPr>
        <w:pStyle w:val="ListParagraph"/>
        <w:autoSpaceDE w:val="0"/>
        <w:autoSpaceDN w:val="0"/>
        <w:adjustRightInd w:val="0"/>
        <w:spacing w:after="0" w:line="23" w:lineRule="atLeast"/>
        <w:ind w:left="0"/>
        <w:jc w:val="center"/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E57D92">
        <w:rPr>
          <w:rFonts w:ascii="Times New Roman" w:hAnsi="Times New Roman"/>
          <w:b/>
          <w:noProof/>
          <w:sz w:val="24"/>
          <w:szCs w:val="24"/>
          <w:lang w:val="bg-BG"/>
        </w:rPr>
        <w:t>ВЪТРЕШНИ ПРАВИЛА ЗА ПРИЛАГАНЕ НА СТРАТЕГИЯ ЗА ВОМР</w:t>
      </w:r>
    </w:p>
    <w:p w:rsidR="00E57D92" w:rsidRPr="00E57D92" w:rsidRDefault="00E57D92" w:rsidP="00E57D92">
      <w:pPr>
        <w:pStyle w:val="ListParagraph"/>
        <w:autoSpaceDE w:val="0"/>
        <w:autoSpaceDN w:val="0"/>
        <w:adjustRightInd w:val="0"/>
        <w:spacing w:after="0" w:line="23" w:lineRule="atLeast"/>
        <w:ind w:left="0"/>
        <w:jc w:val="both"/>
        <w:rPr>
          <w:rFonts w:ascii="Times New Roman" w:hAnsi="Times New Roman"/>
          <w:noProof/>
          <w:sz w:val="24"/>
          <w:szCs w:val="24"/>
          <w:lang w:val="bg-BG"/>
        </w:rPr>
      </w:pPr>
    </w:p>
    <w:p w:rsidR="00E57D92" w:rsidRPr="00E57D92" w:rsidRDefault="00E57D92" w:rsidP="00E57D92">
      <w:pPr>
        <w:pStyle w:val="ListParagraph"/>
        <w:autoSpaceDE w:val="0"/>
        <w:autoSpaceDN w:val="0"/>
        <w:adjustRightInd w:val="0"/>
        <w:spacing w:after="0" w:line="23" w:lineRule="atLeast"/>
        <w:ind w:left="0" w:firstLine="708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E57D92">
        <w:rPr>
          <w:rFonts w:ascii="Times New Roman" w:hAnsi="Times New Roman"/>
          <w:noProof/>
          <w:sz w:val="24"/>
          <w:szCs w:val="24"/>
          <w:lang w:val="bg-BG"/>
        </w:rPr>
        <w:t>Настоящите правила регламентират</w:t>
      </w:r>
      <w:r w:rsidR="0092008C" w:rsidRPr="00E57D92">
        <w:rPr>
          <w:rFonts w:ascii="Times New Roman" w:hAnsi="Times New Roman"/>
          <w:noProof/>
          <w:sz w:val="24"/>
          <w:szCs w:val="24"/>
          <w:lang w:val="bg-BG"/>
        </w:rPr>
        <w:t xml:space="preserve"> дейности, свързани с осигуряване на информация и публичност, подготовка на проектни предложения в съответствие с целите на стратегия за ВОМР (информиране, консултиране и подпомагане подготовката на проекти на потенциалните кандидати; подготвяне и публикуване на покана за кандидатстване с проекти на територията на МИГ; приемане и регистриране на заявления за кандидатстване; създаване и поддържане на база данни за постъпилите проекти по стратегия за ВОМР</w:t>
      </w:r>
      <w:r w:rsidRPr="00E57D92">
        <w:rPr>
          <w:rFonts w:ascii="Times New Roman" w:hAnsi="Times New Roman"/>
          <w:noProof/>
          <w:sz w:val="24"/>
          <w:szCs w:val="24"/>
          <w:lang w:val="bg-BG"/>
        </w:rPr>
        <w:t xml:space="preserve">, тяхното състояние и движение). </w:t>
      </w:r>
    </w:p>
    <w:p w:rsidR="0092008C" w:rsidRPr="00E57D92" w:rsidRDefault="00E57D92" w:rsidP="00E57D92">
      <w:pPr>
        <w:pStyle w:val="ListParagraph"/>
        <w:autoSpaceDE w:val="0"/>
        <w:autoSpaceDN w:val="0"/>
        <w:adjustRightInd w:val="0"/>
        <w:spacing w:after="0" w:line="23" w:lineRule="atLeast"/>
        <w:ind w:left="0" w:firstLine="708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E57D92">
        <w:rPr>
          <w:rFonts w:ascii="Times New Roman" w:hAnsi="Times New Roman"/>
          <w:noProof/>
          <w:sz w:val="24"/>
          <w:szCs w:val="24"/>
          <w:lang w:val="bg-BG"/>
        </w:rPr>
        <w:t>Същите са приети от Управителния съвет на С</w:t>
      </w:r>
      <w:r w:rsidR="00B12802">
        <w:rPr>
          <w:rFonts w:ascii="Times New Roman" w:hAnsi="Times New Roman"/>
          <w:noProof/>
          <w:sz w:val="24"/>
          <w:szCs w:val="24"/>
          <w:lang w:val="bg-BG"/>
        </w:rPr>
        <w:t>Д МИГ Ябланица Правец</w:t>
      </w:r>
      <w:r w:rsidRPr="00E57D92">
        <w:rPr>
          <w:rFonts w:ascii="Times New Roman" w:hAnsi="Times New Roman"/>
          <w:noProof/>
          <w:sz w:val="24"/>
          <w:szCs w:val="24"/>
          <w:lang w:val="bg-BG"/>
        </w:rPr>
        <w:t xml:space="preserve"> и се прилагат за срока на действие на </w:t>
      </w:r>
      <w:r w:rsidR="00B12802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  <w:lang w:val="bg-BG"/>
        </w:rPr>
        <w:t>стратегията за</w:t>
      </w:r>
      <w:r w:rsidRPr="00E57D92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 xml:space="preserve"> ВОМР</w:t>
      </w:r>
      <w:r w:rsidRPr="00E57D92">
        <w:rPr>
          <w:rFonts w:ascii="Times New Roman" w:hAnsi="Times New Roman"/>
          <w:noProof/>
          <w:sz w:val="24"/>
          <w:szCs w:val="24"/>
          <w:lang w:val="bg-BG"/>
        </w:rPr>
        <w:t xml:space="preserve"> до септември 2023г.</w:t>
      </w:r>
    </w:p>
    <w:p w:rsidR="00B412C3" w:rsidRPr="00E57D92" w:rsidRDefault="00B412C3" w:rsidP="00E57D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D92" w:rsidRPr="00E57D92" w:rsidRDefault="00E57D92" w:rsidP="00E5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D9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E57D9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57D92">
        <w:rPr>
          <w:rFonts w:ascii="Times New Roman" w:hAnsi="Times New Roman" w:cs="Times New Roman"/>
          <w:b/>
          <w:sz w:val="24"/>
          <w:szCs w:val="24"/>
        </w:rPr>
        <w:t>.</w:t>
      </w:r>
    </w:p>
    <w:p w:rsidR="009A20E3" w:rsidRDefault="0019366A" w:rsidP="00E5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D92">
        <w:rPr>
          <w:rFonts w:ascii="Times New Roman" w:hAnsi="Times New Roman" w:cs="Times New Roman"/>
          <w:b/>
          <w:sz w:val="24"/>
          <w:szCs w:val="24"/>
        </w:rPr>
        <w:t>ИНФОРМАЦИЯ И ПУБЛИЧНОСТ</w:t>
      </w:r>
    </w:p>
    <w:p w:rsidR="00E57D92" w:rsidRPr="00E57D92" w:rsidRDefault="00E57D92" w:rsidP="00E5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0E3" w:rsidRPr="00B12802" w:rsidRDefault="00E57D92" w:rsidP="00E57D92">
      <w:pPr>
        <w:spacing w:after="0"/>
        <w:ind w:firstLine="85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  <w:shd w:val="clear" w:color="auto" w:fill="FEFEFE"/>
        </w:rPr>
      </w:pPr>
      <w:r w:rsidRPr="00E57D9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1.</w:t>
      </w:r>
      <w:r w:rsidR="009A20E3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Местната инициативна група и получателите на финансова помощ при изпълнение на стратегията за ВОМР осигурят публичност на дейността си и на източниците на финансиране съгласно изискванията, посочени в Единния наръчник на бенефициента за прилагане на правилата за информация и комуникация 2014 - 2020 г., съгласно приложение № 2 от Националната комуникационна стратегия за програмен период 2014 - 2020 г. и съгласно приложение № ІІІ към чл. 13 от Регламент за изпълнение 808/2014 на Комисията от 17 юли 2014 г. за определяне на правила за прилагането на Регламент (ЕС) № 1305/2013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(ОВ, L 2274, 31 юли 2014 г.) и Регламент за изпълнение (ЕС) 2016/669 на Комисията от 28 април 2016 г. за изменение на Регламент за изпълнение (ЕС) № 808/2014 по отношение на изменението и съдържанието на програмите за развитие на селските райони, публичността на тези програми и </w:t>
      </w:r>
      <w:r w:rsidR="009A20E3" w:rsidRPr="00E622F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lastRenderedPageBreak/>
        <w:t>коефициентите на преобразуване в животински единици (ОВ, L 115/33, 29 април 2016 г.).</w:t>
      </w:r>
    </w:p>
    <w:p w:rsidR="009A20E3" w:rsidRPr="00E57D92" w:rsidRDefault="00E57D92" w:rsidP="00E57D92">
      <w:pPr>
        <w:spacing w:after="0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19366A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="009A20E3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За осигуряване на публичност за своята дейност МИГ публикува на интернет страницата </w:t>
      </w:r>
      <w:r w:rsidR="009A20E3" w:rsidRPr="00E622F3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си </w:t>
      </w:r>
      <w:hyperlink r:id="rId11" w:history="1">
        <w:r w:rsidR="00B12802" w:rsidRPr="00E622F3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EFEFE"/>
            <w:lang w:val="en-US"/>
          </w:rPr>
          <w:t>www.ypmig.org</w:t>
        </w:r>
      </w:hyperlink>
      <w:r w:rsidR="00B12802" w:rsidRPr="00E622F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r w:rsidR="009A20E3" w:rsidRPr="00E622F3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и </w:t>
      </w:r>
      <w:r w:rsidR="009A20E3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следната информация:</w:t>
      </w:r>
    </w:p>
    <w:p w:rsidR="009A20E3" w:rsidRPr="00E57D92" w:rsidRDefault="00E57D92" w:rsidP="0087389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2.</w:t>
      </w:r>
      <w:r w:rsidR="009A20E3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1. одобрената стратегия за ВОМР, първоначално одобрения бюджет и всички последващи изменения;</w:t>
      </w:r>
    </w:p>
    <w:p w:rsidR="009A20E3" w:rsidRPr="00E57D92" w:rsidRDefault="009A20E3" w:rsidP="0087389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2.</w:t>
      </w:r>
      <w:r w:rsidR="0087389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2. </w:t>
      </w:r>
      <w:r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всички решения и протоколи от заседания на колективния управителен орган и колективния върховен орган;</w:t>
      </w:r>
    </w:p>
    <w:p w:rsidR="009A20E3" w:rsidRPr="00E57D92" w:rsidRDefault="0087389E" w:rsidP="0087389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2.</w:t>
      </w:r>
      <w:r w:rsidR="009A20E3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3. актуален списък на членовете на колективен върховен орган и на членовете на колективния управителен орган, съдържащ данни за адресната регистрация на физическите лица или седалището и адреса на управление на юридическото лице, сектор, на който е представител, и групата от заинтересовани лица, които представлява;</w:t>
      </w:r>
    </w:p>
    <w:p w:rsidR="009A20E3" w:rsidRPr="00E57D92" w:rsidRDefault="0087389E" w:rsidP="0087389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2.</w:t>
      </w:r>
      <w:r w:rsidR="009A20E3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4. устав на МИГ и неговите изменения и допълнения;</w:t>
      </w:r>
    </w:p>
    <w:p w:rsidR="009A20E3" w:rsidRPr="00E57D92" w:rsidRDefault="0087389E" w:rsidP="0087389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2.</w:t>
      </w:r>
      <w:r w:rsidR="009A20E3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5. регистър на обществените поръчки, който съдържа информация за избрани изпълнители, дейности, срок и стойност на поръчките;</w:t>
      </w:r>
    </w:p>
    <w:p w:rsidR="009A20E3" w:rsidRPr="00E57D92" w:rsidRDefault="0087389E" w:rsidP="0087389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2.</w:t>
      </w:r>
      <w:r w:rsidR="009A20E3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6. профил на купувача съгласно чл. 42 от Закона за обществени поръчки;</w:t>
      </w:r>
    </w:p>
    <w:p w:rsidR="009A20E3" w:rsidRPr="00E57D92" w:rsidRDefault="0087389E" w:rsidP="0087389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2.</w:t>
      </w:r>
      <w:r w:rsidR="009A20E3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7. списък на физическите и юридическите лица, с които МИГ има сключен договор, както и предмета на сключения договор;</w:t>
      </w:r>
    </w:p>
    <w:p w:rsidR="009A20E3" w:rsidRPr="00E57D92" w:rsidRDefault="0087389E" w:rsidP="0087389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2.</w:t>
      </w:r>
      <w:r w:rsidR="009A20E3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8. електронен регистър с проектите, подадени по стратегията за ВОМР;</w:t>
      </w:r>
    </w:p>
    <w:p w:rsidR="009A20E3" w:rsidRPr="00E57D92" w:rsidRDefault="0087389E" w:rsidP="0087389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2.</w:t>
      </w:r>
      <w:r w:rsidR="009A20E3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9. всички декларации за липса/наличие на конфликт на интереси на членовете на комисията за избор на проекти;</w:t>
      </w:r>
    </w:p>
    <w:p w:rsidR="009A20E3" w:rsidRPr="00E57D92" w:rsidRDefault="0087389E" w:rsidP="0087389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2.</w:t>
      </w:r>
      <w:r w:rsidR="009A20E3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10. критерии за оценка на проектите;</w:t>
      </w:r>
    </w:p>
    <w:p w:rsidR="009A20E3" w:rsidRPr="00E57D92" w:rsidRDefault="0087389E" w:rsidP="0087389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2.</w:t>
      </w:r>
      <w:r w:rsidR="009A20E3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11. решенията на комисията за избор на проектите и на колективния управителен орган за одобрение на проектите;</w:t>
      </w:r>
    </w:p>
    <w:p w:rsidR="009A20E3" w:rsidRPr="00E57D92" w:rsidRDefault="0087389E" w:rsidP="0087389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2.</w:t>
      </w:r>
      <w:r w:rsidR="009A20E3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12. всички правила за работа на МИГ;</w:t>
      </w:r>
    </w:p>
    <w:p w:rsidR="009A20E3" w:rsidRPr="00E57D92" w:rsidRDefault="0087389E" w:rsidP="0087389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2.</w:t>
      </w:r>
      <w:r w:rsidR="009A20E3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13. доклади за дейността и финансовите отчети за дейността на МИГ, представени в Централния регистър при Министерството на правосъдието;</w:t>
      </w:r>
    </w:p>
    <w:p w:rsidR="009A20E3" w:rsidRPr="00E622F3" w:rsidRDefault="0087389E" w:rsidP="0087389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2.</w:t>
      </w:r>
      <w:r w:rsidR="009A20E3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14. годишни доклади за отчитане изпълнението на стратегията за ВОМР, представяни </w:t>
      </w:r>
      <w:r w:rsidR="00E622F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пред </w:t>
      </w:r>
      <w:r w:rsidR="00E622F3" w:rsidRPr="00E622F3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УО на ПРСР - МЗХГ</w:t>
      </w:r>
    </w:p>
    <w:p w:rsidR="009A20E3" w:rsidRDefault="0087389E" w:rsidP="00E57D92">
      <w:pPr>
        <w:spacing w:after="0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87389E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3.</w:t>
      </w:r>
      <w:r w:rsidR="009A20E3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Информация се публикува при спазване на изискванията на Закона за защита на личните данни, Закона за обществените поръчки и Регламент (ЕС) № 1306/2013 на Европейския парламент и на Съвета от 17 декември 2013 г. относно финансирането, управлението и мониторинга на общата селскостопанска политика и за отмяна на регламенти (ЕИО) № 352/78, (ЕО) № 165/94, (ЕО) № 2799/98, (ЕО) № 814/2000, (ЕО) № 1290/2005 и (ЕО) № 485/2008 на Съвета (ОВ, L, бр. 345, 20 декември 2013 г.) след получаване на изрично писмено съгласие от физическите лица и едноличните търговци.</w:t>
      </w:r>
    </w:p>
    <w:p w:rsidR="00430D3A" w:rsidRDefault="00430D3A" w:rsidP="00E57D92">
      <w:pPr>
        <w:spacing w:after="0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:rsidR="00430D3A" w:rsidRDefault="00430D3A" w:rsidP="00430D3A">
      <w:pPr>
        <w:spacing w:after="0"/>
        <w:ind w:firstLine="85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430D3A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РАЗДЕЛ </w:t>
      </w:r>
      <w:r w:rsidRPr="00430D3A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en-US"/>
        </w:rPr>
        <w:t>II</w:t>
      </w:r>
      <w:r w:rsidRPr="00430D3A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.</w:t>
      </w:r>
    </w:p>
    <w:p w:rsidR="0019366A" w:rsidRDefault="0019366A" w:rsidP="00430D3A">
      <w:pPr>
        <w:spacing w:after="0"/>
        <w:ind w:firstLine="85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9366A">
        <w:rPr>
          <w:rFonts w:ascii="Times New Roman" w:hAnsi="Times New Roman" w:cs="Times New Roman"/>
          <w:b/>
          <w:noProof/>
          <w:sz w:val="24"/>
          <w:szCs w:val="24"/>
        </w:rPr>
        <w:t>ПОДГОТОВКА НА ПРОЕКТНИ ПРЕДЛОЖЕНИЯ В СЪОТВЕТСТВИЕ С ЦЕЛИТЕ НА СТРАТЕГИЯ ЗА ВОМР</w:t>
      </w:r>
    </w:p>
    <w:p w:rsidR="0019366A" w:rsidRDefault="0019366A" w:rsidP="00430D3A">
      <w:pPr>
        <w:spacing w:after="0"/>
        <w:ind w:firstLine="85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366A" w:rsidRPr="0019366A" w:rsidRDefault="0019366A" w:rsidP="00430D3A">
      <w:pPr>
        <w:spacing w:after="0"/>
        <w:ind w:firstLine="85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  <w:r w:rsidRPr="0019366A">
        <w:rPr>
          <w:rFonts w:ascii="Times New Roman" w:hAnsi="Times New Roman" w:cs="Times New Roman"/>
          <w:b/>
          <w:noProof/>
          <w:sz w:val="24"/>
          <w:szCs w:val="24"/>
        </w:rPr>
        <w:t>Информиране, консултиране и подпомагане подготовката на проекти на потенциалните кандидати</w:t>
      </w:r>
    </w:p>
    <w:p w:rsidR="00430D3A" w:rsidRPr="00430D3A" w:rsidRDefault="00430D3A" w:rsidP="00430D3A">
      <w:pPr>
        <w:spacing w:after="0"/>
        <w:ind w:firstLine="85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</w:p>
    <w:p w:rsidR="0019366A" w:rsidRPr="0019366A" w:rsidRDefault="0087389E" w:rsidP="0019366A">
      <w:pPr>
        <w:spacing w:after="0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87389E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4.</w:t>
      </w:r>
      <w:r w:rsidR="0019366A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="0019366A" w:rsidRPr="0019366A">
        <w:rPr>
          <w:rFonts w:ascii="Times New Roman" w:hAnsi="Times New Roman" w:cs="Times New Roman"/>
          <w:sz w:val="24"/>
          <w:szCs w:val="24"/>
        </w:rPr>
        <w:t xml:space="preserve">Информирането на подготовката на заявления за кандидатстване се осъществява във възможно най-широк кръг в съответствие с принципите за прозрачност и равенство при достъпа до информация. Конкретни мерки за осигуряване на информиране и консултиране и подпомагането на потенциални кандидати са: </w:t>
      </w:r>
    </w:p>
    <w:p w:rsidR="0019366A" w:rsidRPr="0019366A" w:rsidRDefault="0019366A" w:rsidP="0019366A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н</w:t>
      </w:r>
      <w:r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е по-късно от 30 ноември на предходната година УС на МИГ одобрява и публикува на интернет страницата на МИГ индикативен график за приемите по съответните мерки от стратегията за ВОМР за следващата календарна година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;</w:t>
      </w:r>
    </w:p>
    <w:p w:rsidR="0019366A" w:rsidRPr="0019366A" w:rsidRDefault="0019366A" w:rsidP="0019366A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66A">
        <w:rPr>
          <w:rFonts w:ascii="Times New Roman" w:hAnsi="Times New Roman" w:cs="Times New Roman"/>
          <w:sz w:val="24"/>
          <w:szCs w:val="24"/>
        </w:rPr>
        <w:t>провеждане на тематични обучения;</w:t>
      </w:r>
    </w:p>
    <w:p w:rsidR="0019366A" w:rsidRPr="0019366A" w:rsidRDefault="0019366A" w:rsidP="0019366A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66A">
        <w:rPr>
          <w:rFonts w:ascii="Times New Roman" w:hAnsi="Times New Roman" w:cs="Times New Roman"/>
          <w:sz w:val="24"/>
          <w:szCs w:val="24"/>
        </w:rPr>
        <w:t>провеждане на дискусии от външни експерти в тематични групи за обсъждане на конкретни идеи;</w:t>
      </w:r>
    </w:p>
    <w:p w:rsidR="0019366A" w:rsidRPr="0019366A" w:rsidRDefault="0019366A" w:rsidP="0019366A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66A">
        <w:rPr>
          <w:rFonts w:ascii="Times New Roman" w:hAnsi="Times New Roman" w:cs="Times New Roman"/>
          <w:sz w:val="24"/>
          <w:szCs w:val="24"/>
        </w:rPr>
        <w:t>провеждане на срещи с потенциални кандидати в населени места от територията на МИГ;</w:t>
      </w:r>
    </w:p>
    <w:p w:rsidR="0019366A" w:rsidRPr="0019366A" w:rsidRDefault="0019366A" w:rsidP="0019366A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66A">
        <w:rPr>
          <w:rFonts w:ascii="Times New Roman" w:hAnsi="Times New Roman" w:cs="Times New Roman"/>
          <w:sz w:val="24"/>
          <w:szCs w:val="24"/>
        </w:rPr>
        <w:t>провеждане на обучение на потенциални кандидати по мерките заложени в приоритетите в</w:t>
      </w:r>
      <w:r w:rsidR="00E622F3">
        <w:rPr>
          <w:rFonts w:ascii="Times New Roman" w:hAnsi="Times New Roman" w:cs="Times New Roman"/>
          <w:sz w:val="24"/>
          <w:szCs w:val="24"/>
        </w:rPr>
        <w:t xml:space="preserve"> стратегията на </w:t>
      </w:r>
      <w:r w:rsidRPr="0019366A">
        <w:rPr>
          <w:rFonts w:ascii="Times New Roman" w:hAnsi="Times New Roman" w:cs="Times New Roman"/>
          <w:sz w:val="24"/>
          <w:szCs w:val="24"/>
        </w:rPr>
        <w:t xml:space="preserve"> </w:t>
      </w:r>
      <w:r w:rsidR="00E622F3">
        <w:rPr>
          <w:rFonts w:ascii="Times New Roman" w:hAnsi="Times New Roman" w:cs="Times New Roman"/>
          <w:sz w:val="24"/>
          <w:szCs w:val="24"/>
        </w:rPr>
        <w:t>ВОМР</w:t>
      </w:r>
      <w:r w:rsidRPr="0019366A">
        <w:rPr>
          <w:rFonts w:ascii="Times New Roman" w:hAnsi="Times New Roman" w:cs="Times New Roman"/>
          <w:sz w:val="24"/>
          <w:szCs w:val="24"/>
        </w:rPr>
        <w:t xml:space="preserve"> в рамките на всеки цикъл след отворена обява; </w:t>
      </w:r>
    </w:p>
    <w:p w:rsidR="0019366A" w:rsidRPr="0019366A" w:rsidRDefault="0019366A" w:rsidP="0019366A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66A">
        <w:rPr>
          <w:rFonts w:ascii="Times New Roman" w:hAnsi="Times New Roman" w:cs="Times New Roman"/>
          <w:sz w:val="24"/>
          <w:szCs w:val="24"/>
        </w:rPr>
        <w:t>подготовка и разпространение на печатни информационни материали – брошури, бюлетини, указания;</w:t>
      </w:r>
    </w:p>
    <w:p w:rsidR="0019366A" w:rsidRPr="0019366A" w:rsidRDefault="0019366A" w:rsidP="0019366A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66A">
        <w:rPr>
          <w:rFonts w:ascii="Times New Roman" w:hAnsi="Times New Roman" w:cs="Times New Roman"/>
          <w:sz w:val="24"/>
          <w:szCs w:val="24"/>
        </w:rPr>
        <w:t>представяне на информация на електронната страница на МИГ;</w:t>
      </w:r>
    </w:p>
    <w:p w:rsidR="0019366A" w:rsidRPr="0019366A" w:rsidRDefault="0019366A" w:rsidP="0019366A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66A">
        <w:rPr>
          <w:rFonts w:ascii="Times New Roman" w:hAnsi="Times New Roman" w:cs="Times New Roman"/>
          <w:sz w:val="24"/>
          <w:szCs w:val="24"/>
        </w:rPr>
        <w:t>предоставяне на информация по телефона или на място в офиса на МИГ;</w:t>
      </w:r>
    </w:p>
    <w:p w:rsidR="0019366A" w:rsidRPr="0019366A" w:rsidRDefault="0019366A" w:rsidP="0019366A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66A">
        <w:rPr>
          <w:rFonts w:ascii="Times New Roman" w:hAnsi="Times New Roman" w:cs="Times New Roman"/>
          <w:sz w:val="24"/>
          <w:szCs w:val="24"/>
        </w:rPr>
        <w:t>провеждането на информационни дни за представяне и стартиране на прилагането на годишна програма за реализиране на стратегията съгласно приетия финансов бюджет за предоставяне на публична помощ;</w:t>
      </w:r>
    </w:p>
    <w:p w:rsidR="0019366A" w:rsidRPr="0019366A" w:rsidRDefault="0019366A" w:rsidP="0019366A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66A">
        <w:rPr>
          <w:rFonts w:ascii="Times New Roman" w:hAnsi="Times New Roman" w:cs="Times New Roman"/>
          <w:sz w:val="24"/>
          <w:szCs w:val="24"/>
        </w:rPr>
        <w:t>информационни срещи след публикуване на обявата за кандидатстване по съответните мерки;</w:t>
      </w:r>
    </w:p>
    <w:p w:rsidR="0019366A" w:rsidRPr="0019366A" w:rsidRDefault="0019366A" w:rsidP="0019366A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66A">
        <w:rPr>
          <w:rFonts w:ascii="Times New Roman" w:hAnsi="Times New Roman" w:cs="Times New Roman"/>
          <w:sz w:val="24"/>
          <w:szCs w:val="24"/>
        </w:rPr>
        <w:t xml:space="preserve">срещи за консултиране в рамките на тематични групи провеждани от експерта по </w:t>
      </w:r>
      <w:r w:rsidR="008742E8">
        <w:rPr>
          <w:rFonts w:ascii="Times New Roman" w:hAnsi="Times New Roman" w:cs="Times New Roman"/>
          <w:sz w:val="24"/>
          <w:szCs w:val="24"/>
        </w:rPr>
        <w:t>стратегия на ВО</w:t>
      </w:r>
      <w:r w:rsidRPr="0019366A">
        <w:rPr>
          <w:rFonts w:ascii="Times New Roman" w:hAnsi="Times New Roman" w:cs="Times New Roman"/>
          <w:sz w:val="24"/>
          <w:szCs w:val="24"/>
        </w:rPr>
        <w:t xml:space="preserve">МР. При наличието на представени идеи за проекти се осъществи предоставяне на методическа помощ и консултиране на ниво идея на проекти от експерта по </w:t>
      </w:r>
      <w:r w:rsidR="00E622F3">
        <w:rPr>
          <w:rFonts w:ascii="Times New Roman" w:hAnsi="Times New Roman" w:cs="Times New Roman"/>
          <w:sz w:val="24"/>
          <w:szCs w:val="24"/>
        </w:rPr>
        <w:t>ВОМР</w:t>
      </w:r>
      <w:r w:rsidRPr="001936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366A" w:rsidRDefault="0019366A" w:rsidP="00E57D92">
      <w:pPr>
        <w:spacing w:after="0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19366A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С цел </w:t>
      </w:r>
      <w:r w:rsidRPr="00FB414D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изпълнение на стратегията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екипа МИГ:</w:t>
      </w:r>
    </w:p>
    <w:p w:rsidR="0019366A" w:rsidRDefault="0019366A" w:rsidP="0019366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5.1. И</w:t>
      </w:r>
      <w:r w:rsidRPr="00FB414D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нформира и подпомага подготовката на проекти на потенциалните кандидати;</w:t>
      </w:r>
    </w:p>
    <w:p w:rsidR="0019366A" w:rsidRPr="0019366A" w:rsidRDefault="0019366A" w:rsidP="0019366A">
      <w:pPr>
        <w:pStyle w:val="ListParagraph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366A">
        <w:rPr>
          <w:rFonts w:ascii="Times New Roman" w:hAnsi="Times New Roman"/>
          <w:sz w:val="24"/>
          <w:szCs w:val="24"/>
        </w:rPr>
        <w:t>Консултирането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за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подготовката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на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проектни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предложения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на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потенциалните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r w:rsidRPr="0019366A">
        <w:rPr>
          <w:rFonts w:ascii="Times New Roman" w:hAnsi="Times New Roman"/>
          <w:sz w:val="24"/>
          <w:szCs w:val="24"/>
          <w:lang w:val="bg-BG"/>
        </w:rPr>
        <w:t>кандидати</w:t>
      </w:r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се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извършва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по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график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9366A">
        <w:rPr>
          <w:rFonts w:ascii="Times New Roman" w:hAnsi="Times New Roman"/>
          <w:sz w:val="24"/>
          <w:szCs w:val="24"/>
        </w:rPr>
        <w:t>след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публикуването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на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покана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за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набиране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на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проектни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предложения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9366A">
        <w:rPr>
          <w:rFonts w:ascii="Times New Roman" w:hAnsi="Times New Roman"/>
          <w:sz w:val="24"/>
          <w:szCs w:val="24"/>
        </w:rPr>
        <w:t>Графикът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се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изготвя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ежемесечно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от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r w:rsidRPr="0019366A">
        <w:rPr>
          <w:rFonts w:ascii="Times New Roman" w:hAnsi="Times New Roman"/>
          <w:sz w:val="24"/>
          <w:szCs w:val="24"/>
          <w:lang w:val="bg-BG"/>
        </w:rPr>
        <w:t>изпълнителния директор на МИГ</w:t>
      </w:r>
      <w:r w:rsidRPr="0019366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9366A">
        <w:rPr>
          <w:rFonts w:ascii="Times New Roman" w:hAnsi="Times New Roman"/>
          <w:sz w:val="24"/>
          <w:szCs w:val="24"/>
        </w:rPr>
        <w:t>публично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се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огласява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на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електронната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страница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на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сдружението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. Консултирането се осъществява, както следва: </w:t>
      </w:r>
    </w:p>
    <w:p w:rsidR="0019366A" w:rsidRPr="0019366A" w:rsidRDefault="0019366A" w:rsidP="001936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9366A">
        <w:rPr>
          <w:rFonts w:ascii="Times New Roman" w:hAnsi="Times New Roman" w:cs="Times New Roman"/>
          <w:sz w:val="24"/>
          <w:szCs w:val="24"/>
        </w:rPr>
        <w:t>а/посещения на място на експерта на МИГ в населените места от територията при наличие на интерес;</w:t>
      </w:r>
    </w:p>
    <w:p w:rsidR="0019366A" w:rsidRPr="0019366A" w:rsidRDefault="0019366A" w:rsidP="001936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9366A">
        <w:rPr>
          <w:rFonts w:ascii="Times New Roman" w:hAnsi="Times New Roman" w:cs="Times New Roman"/>
          <w:sz w:val="24"/>
          <w:szCs w:val="24"/>
        </w:rPr>
        <w:t>б/срещи в офиса на МИГ;</w:t>
      </w:r>
    </w:p>
    <w:p w:rsidR="0019366A" w:rsidRPr="0019366A" w:rsidRDefault="0019366A" w:rsidP="0019366A">
      <w:pPr>
        <w:numPr>
          <w:ilvl w:val="2"/>
          <w:numId w:val="8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19366A">
        <w:rPr>
          <w:rFonts w:ascii="Times New Roman" w:hAnsi="Times New Roman" w:cs="Times New Roman"/>
          <w:sz w:val="24"/>
          <w:szCs w:val="24"/>
        </w:rPr>
        <w:t>онкретни мерки за консултирането на един кандидат включват разясняването на:</w:t>
      </w:r>
    </w:p>
    <w:p w:rsidR="0019366A" w:rsidRPr="0019366A" w:rsidRDefault="0019366A" w:rsidP="0019366A">
      <w:pPr>
        <w:numPr>
          <w:ilvl w:val="0"/>
          <w:numId w:val="7"/>
        </w:numPr>
        <w:tabs>
          <w:tab w:val="clear" w:pos="128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9366A">
        <w:rPr>
          <w:rFonts w:ascii="Times New Roman" w:hAnsi="Times New Roman" w:cs="Times New Roman"/>
          <w:sz w:val="24"/>
          <w:szCs w:val="24"/>
        </w:rPr>
        <w:t>неговата обосновка и проверка на необходимостта от разработването му;</w:t>
      </w:r>
    </w:p>
    <w:p w:rsidR="0019366A" w:rsidRPr="0019366A" w:rsidRDefault="0019366A" w:rsidP="0019366A">
      <w:pPr>
        <w:numPr>
          <w:ilvl w:val="0"/>
          <w:numId w:val="7"/>
        </w:numPr>
        <w:tabs>
          <w:tab w:val="clear" w:pos="128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9366A">
        <w:rPr>
          <w:rFonts w:ascii="Times New Roman" w:hAnsi="Times New Roman" w:cs="Times New Roman"/>
          <w:sz w:val="24"/>
          <w:szCs w:val="24"/>
        </w:rPr>
        <w:t>измеримите индикатори за постигане на целите;</w:t>
      </w:r>
    </w:p>
    <w:p w:rsidR="0019366A" w:rsidRPr="0019366A" w:rsidRDefault="0019366A" w:rsidP="0019366A">
      <w:pPr>
        <w:numPr>
          <w:ilvl w:val="0"/>
          <w:numId w:val="7"/>
        </w:numPr>
        <w:tabs>
          <w:tab w:val="clear" w:pos="128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9366A">
        <w:rPr>
          <w:rFonts w:ascii="Times New Roman" w:hAnsi="Times New Roman" w:cs="Times New Roman"/>
          <w:sz w:val="24"/>
          <w:szCs w:val="24"/>
        </w:rPr>
        <w:t>най-добри методи за постигане на целите на базата на различни алтернативи;</w:t>
      </w:r>
    </w:p>
    <w:p w:rsidR="0019366A" w:rsidRPr="0019366A" w:rsidRDefault="0019366A" w:rsidP="0019366A">
      <w:pPr>
        <w:numPr>
          <w:ilvl w:val="0"/>
          <w:numId w:val="7"/>
        </w:numPr>
        <w:tabs>
          <w:tab w:val="clear" w:pos="128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9366A">
        <w:rPr>
          <w:rFonts w:ascii="Times New Roman" w:hAnsi="Times New Roman" w:cs="Times New Roman"/>
          <w:sz w:val="24"/>
          <w:szCs w:val="24"/>
        </w:rPr>
        <w:t>подробен списък с дейности които могат да бъдат изпълнени като допустими за подпомагане ;</w:t>
      </w:r>
    </w:p>
    <w:p w:rsidR="0019366A" w:rsidRPr="0019366A" w:rsidRDefault="0019366A" w:rsidP="0019366A">
      <w:pPr>
        <w:numPr>
          <w:ilvl w:val="0"/>
          <w:numId w:val="7"/>
        </w:numPr>
        <w:tabs>
          <w:tab w:val="clear" w:pos="128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9366A">
        <w:rPr>
          <w:rFonts w:ascii="Times New Roman" w:hAnsi="Times New Roman" w:cs="Times New Roman"/>
          <w:sz w:val="24"/>
          <w:szCs w:val="24"/>
        </w:rPr>
        <w:t xml:space="preserve">времева рамка за изпълнение; </w:t>
      </w:r>
    </w:p>
    <w:p w:rsidR="0019366A" w:rsidRPr="0019366A" w:rsidRDefault="0019366A" w:rsidP="0019366A">
      <w:pPr>
        <w:numPr>
          <w:ilvl w:val="0"/>
          <w:numId w:val="7"/>
        </w:numPr>
        <w:tabs>
          <w:tab w:val="clear" w:pos="128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9366A">
        <w:rPr>
          <w:rFonts w:ascii="Times New Roman" w:hAnsi="Times New Roman" w:cs="Times New Roman"/>
          <w:sz w:val="24"/>
          <w:szCs w:val="24"/>
        </w:rPr>
        <w:t>отговорно лице или организация за реализацията на проекта;</w:t>
      </w:r>
    </w:p>
    <w:p w:rsidR="0019366A" w:rsidRPr="0019366A" w:rsidRDefault="0019366A" w:rsidP="0019366A">
      <w:pPr>
        <w:numPr>
          <w:ilvl w:val="0"/>
          <w:numId w:val="7"/>
        </w:numPr>
        <w:tabs>
          <w:tab w:val="clear" w:pos="128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9366A">
        <w:rPr>
          <w:rFonts w:ascii="Times New Roman" w:hAnsi="Times New Roman" w:cs="Times New Roman"/>
          <w:sz w:val="24"/>
          <w:szCs w:val="24"/>
        </w:rPr>
        <w:t>необходими финансови, човешки  и организационни ресурси;</w:t>
      </w:r>
    </w:p>
    <w:p w:rsidR="0019366A" w:rsidRPr="0019366A" w:rsidRDefault="0019366A" w:rsidP="0019366A">
      <w:pPr>
        <w:numPr>
          <w:ilvl w:val="0"/>
          <w:numId w:val="7"/>
        </w:numPr>
        <w:tabs>
          <w:tab w:val="clear" w:pos="128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9366A">
        <w:rPr>
          <w:rFonts w:ascii="Times New Roman" w:hAnsi="Times New Roman" w:cs="Times New Roman"/>
          <w:sz w:val="24"/>
          <w:szCs w:val="24"/>
        </w:rPr>
        <w:t>външни условия, способстващи за успеха на заявлението за подпомагане.</w:t>
      </w:r>
    </w:p>
    <w:p w:rsidR="0019366A" w:rsidRPr="0019366A" w:rsidRDefault="0019366A" w:rsidP="0019366A">
      <w:pPr>
        <w:pStyle w:val="ListParagraph"/>
        <w:numPr>
          <w:ilvl w:val="2"/>
          <w:numId w:val="8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366A">
        <w:rPr>
          <w:rFonts w:ascii="Times New Roman" w:hAnsi="Times New Roman"/>
          <w:sz w:val="24"/>
          <w:szCs w:val="24"/>
        </w:rPr>
        <w:t>Подпомагането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на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потенциалните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кандидати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за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подготовката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на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проекти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9366A">
        <w:rPr>
          <w:rFonts w:ascii="Times New Roman" w:hAnsi="Times New Roman"/>
          <w:sz w:val="24"/>
          <w:szCs w:val="24"/>
        </w:rPr>
        <w:t>се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извършва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индивидуално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след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публикуването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на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обявата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за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набиране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на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проектни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предложения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9366A">
        <w:rPr>
          <w:rFonts w:ascii="Times New Roman" w:hAnsi="Times New Roman"/>
          <w:sz w:val="24"/>
          <w:szCs w:val="24"/>
        </w:rPr>
        <w:t>Подпомагането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се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изразява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19366A">
        <w:rPr>
          <w:rFonts w:ascii="Times New Roman" w:hAnsi="Times New Roman"/>
          <w:sz w:val="24"/>
          <w:szCs w:val="24"/>
        </w:rPr>
        <w:t>съдействието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за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подготовката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цялостния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1454">
        <w:rPr>
          <w:rFonts w:ascii="Times New Roman" w:hAnsi="Times New Roman"/>
          <w:sz w:val="24"/>
          <w:szCs w:val="24"/>
        </w:rPr>
        <w:t>пакет</w:t>
      </w:r>
      <w:proofErr w:type="spellEnd"/>
      <w:r w:rsidR="00AF14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1454">
        <w:rPr>
          <w:rFonts w:ascii="Times New Roman" w:hAnsi="Times New Roman"/>
          <w:sz w:val="24"/>
          <w:szCs w:val="24"/>
        </w:rPr>
        <w:t>от</w:t>
      </w:r>
      <w:proofErr w:type="spellEnd"/>
      <w:r w:rsidR="00AF14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1454">
        <w:rPr>
          <w:rFonts w:ascii="Times New Roman" w:hAnsi="Times New Roman"/>
          <w:sz w:val="24"/>
          <w:szCs w:val="24"/>
        </w:rPr>
        <w:t>необходимите</w:t>
      </w:r>
      <w:proofErr w:type="spellEnd"/>
      <w:r w:rsidR="00AF14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1454">
        <w:rPr>
          <w:rFonts w:ascii="Times New Roman" w:hAnsi="Times New Roman"/>
          <w:sz w:val="24"/>
          <w:szCs w:val="24"/>
        </w:rPr>
        <w:t>документи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за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кандидатстването</w:t>
      </w:r>
      <w:proofErr w:type="spellEnd"/>
      <w:r w:rsidRPr="0019366A">
        <w:rPr>
          <w:rFonts w:ascii="Times New Roman" w:hAnsi="Times New Roman"/>
          <w:sz w:val="24"/>
          <w:szCs w:val="24"/>
        </w:rPr>
        <w:t>. Конкретните мерки за подпомагане включват: даване на информация за подготовка на проекти, връзка с експерти от институции и консултанти. Подпомагането се осъществяват непрекъснато в офиса на МИГ.</w:t>
      </w:r>
    </w:p>
    <w:p w:rsidR="0019366A" w:rsidRPr="0019366A" w:rsidRDefault="0019366A" w:rsidP="0019366A">
      <w:pPr>
        <w:pStyle w:val="ListParagraph"/>
        <w:numPr>
          <w:ilvl w:val="2"/>
          <w:numId w:val="8"/>
        </w:numPr>
        <w:tabs>
          <w:tab w:val="left" w:pos="993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366A">
        <w:rPr>
          <w:rFonts w:ascii="Times New Roman" w:hAnsi="Times New Roman"/>
          <w:sz w:val="24"/>
          <w:szCs w:val="24"/>
        </w:rPr>
        <w:t>Външните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експерти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се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избират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от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база-данни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на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експерти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r w:rsidRPr="0019366A">
        <w:rPr>
          <w:rFonts w:ascii="Times New Roman" w:hAnsi="Times New Roman"/>
          <w:sz w:val="24"/>
          <w:szCs w:val="24"/>
          <w:lang w:val="bg-BG"/>
        </w:rPr>
        <w:t xml:space="preserve">подържана от МИГ. </w:t>
      </w:r>
      <w:proofErr w:type="spellStart"/>
      <w:r w:rsidRPr="0019366A">
        <w:rPr>
          <w:rFonts w:ascii="Times New Roman" w:hAnsi="Times New Roman"/>
          <w:sz w:val="24"/>
          <w:szCs w:val="24"/>
        </w:rPr>
        <w:t>Информация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19366A">
        <w:rPr>
          <w:rFonts w:ascii="Times New Roman" w:hAnsi="Times New Roman"/>
          <w:sz w:val="24"/>
          <w:szCs w:val="24"/>
        </w:rPr>
        <w:t>имената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9366A">
        <w:rPr>
          <w:rFonts w:ascii="Times New Roman" w:hAnsi="Times New Roman"/>
          <w:sz w:val="24"/>
          <w:szCs w:val="24"/>
        </w:rPr>
        <w:t>контакти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19366A">
        <w:rPr>
          <w:rFonts w:ascii="Times New Roman" w:hAnsi="Times New Roman"/>
          <w:sz w:val="24"/>
          <w:szCs w:val="24"/>
        </w:rPr>
        <w:t>експерти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за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извършване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на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тези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дейности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r w:rsidRPr="0019366A">
        <w:rPr>
          <w:rFonts w:ascii="Times New Roman" w:hAnsi="Times New Roman"/>
          <w:sz w:val="24"/>
          <w:szCs w:val="24"/>
          <w:lang w:val="bg-BG"/>
        </w:rPr>
        <w:t xml:space="preserve">се </w:t>
      </w:r>
      <w:proofErr w:type="spellStart"/>
      <w:r w:rsidRPr="0019366A">
        <w:rPr>
          <w:rFonts w:ascii="Times New Roman" w:hAnsi="Times New Roman"/>
          <w:sz w:val="24"/>
          <w:szCs w:val="24"/>
        </w:rPr>
        <w:t>публикува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на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електронната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страница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66A">
        <w:rPr>
          <w:rFonts w:ascii="Times New Roman" w:hAnsi="Times New Roman"/>
          <w:sz w:val="24"/>
          <w:szCs w:val="24"/>
        </w:rPr>
        <w:t>на</w:t>
      </w:r>
      <w:proofErr w:type="spellEnd"/>
      <w:r w:rsidRPr="0019366A">
        <w:rPr>
          <w:rFonts w:ascii="Times New Roman" w:hAnsi="Times New Roman"/>
          <w:sz w:val="24"/>
          <w:szCs w:val="24"/>
        </w:rPr>
        <w:t xml:space="preserve"> </w:t>
      </w:r>
      <w:r w:rsidRPr="0019366A">
        <w:rPr>
          <w:rFonts w:ascii="Times New Roman" w:hAnsi="Times New Roman"/>
          <w:sz w:val="24"/>
          <w:szCs w:val="24"/>
          <w:lang w:val="bg-BG"/>
        </w:rPr>
        <w:t>МИГ.</w:t>
      </w:r>
      <w:r w:rsidRPr="0019366A">
        <w:rPr>
          <w:rFonts w:ascii="Times New Roman" w:hAnsi="Times New Roman"/>
          <w:sz w:val="24"/>
          <w:szCs w:val="24"/>
        </w:rPr>
        <w:t xml:space="preserve"> </w:t>
      </w:r>
    </w:p>
    <w:p w:rsidR="0019366A" w:rsidRPr="00FB414D" w:rsidRDefault="0019366A" w:rsidP="0019366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5.2. О</w:t>
      </w:r>
      <w:r w:rsidRPr="00FB414D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съществява мониторинг на изпълнението на проектите и подпомага методически получателите на финансова помощ;</w:t>
      </w:r>
    </w:p>
    <w:p w:rsidR="0019366A" w:rsidRDefault="0019366A" w:rsidP="0019366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5.3. П</w:t>
      </w:r>
      <w:r w:rsidRPr="00FB414D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одпомага одобрените кандидати при подготовката на заявки за плащане до ДФЗ и УО за изготвяне на доклади за отчитане на изпълнението;</w:t>
      </w:r>
    </w:p>
    <w:p w:rsidR="0019366A" w:rsidRDefault="0019366A" w:rsidP="00E57D92">
      <w:pPr>
        <w:spacing w:after="0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:rsidR="0019366A" w:rsidRDefault="0019366A" w:rsidP="0019366A">
      <w:pPr>
        <w:spacing w:after="0"/>
        <w:ind w:firstLine="85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</w:t>
      </w:r>
      <w:r w:rsidRPr="00430D3A">
        <w:rPr>
          <w:rFonts w:ascii="Times New Roman" w:hAnsi="Times New Roman" w:cs="Times New Roman"/>
          <w:b/>
          <w:noProof/>
          <w:sz w:val="24"/>
          <w:szCs w:val="24"/>
        </w:rPr>
        <w:t>одготвяне и публикуване на покана за кандидатстване с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проекти на територията на МИГ</w:t>
      </w:r>
    </w:p>
    <w:p w:rsidR="0019366A" w:rsidRPr="00E57D92" w:rsidRDefault="0019366A" w:rsidP="00E57D92">
      <w:pPr>
        <w:spacing w:after="0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:rsidR="00BC6251" w:rsidRPr="00E57D92" w:rsidRDefault="0019366A" w:rsidP="00E57D92">
      <w:pPr>
        <w:spacing w:after="0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6</w:t>
      </w:r>
      <w:r w:rsidR="0087389E" w:rsidRPr="0087389E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.</w:t>
      </w:r>
      <w:r w:rsidR="00BC6251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Управителният съвет на МИГ взема решение за обявяване на подбор на проекти при съобразяване с индикативния график и одобрява покана за прием на заявления от потенциални получатели на финансова помощ.</w:t>
      </w:r>
    </w:p>
    <w:p w:rsidR="00BC6251" w:rsidRPr="00E57D92" w:rsidRDefault="0087389E" w:rsidP="0087389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87389E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="00BC6251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Поканата за прием съдържа най-малко:</w:t>
      </w:r>
    </w:p>
    <w:p w:rsidR="00BC6251" w:rsidRPr="00E57D92" w:rsidRDefault="0087389E" w:rsidP="0087389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6.</w:t>
      </w:r>
      <w:r w:rsidR="00BC6251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1. наименование на мярката от стратегията за ВОМР;</w:t>
      </w:r>
    </w:p>
    <w:p w:rsidR="00BC6251" w:rsidRPr="008742E8" w:rsidRDefault="0087389E" w:rsidP="0087389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8742E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6.</w:t>
      </w:r>
      <w:r w:rsidR="00BC6251" w:rsidRPr="008742E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2. програма, предоставяща финансирането;</w:t>
      </w:r>
    </w:p>
    <w:p w:rsidR="00BC6251" w:rsidRPr="00E57D92" w:rsidRDefault="0087389E" w:rsidP="0087389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6.</w:t>
      </w:r>
      <w:r w:rsidR="00BC6251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3. допустими кандидати;</w:t>
      </w:r>
    </w:p>
    <w:p w:rsidR="00BC6251" w:rsidRPr="00E57D92" w:rsidRDefault="0087389E" w:rsidP="0087389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6.</w:t>
      </w:r>
      <w:r w:rsidR="00BC6251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4. допустимите дейности;</w:t>
      </w:r>
    </w:p>
    <w:p w:rsidR="00BC6251" w:rsidRPr="00E57D92" w:rsidRDefault="0087389E" w:rsidP="0087389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6.</w:t>
      </w:r>
      <w:r w:rsidR="00BC6251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5. период за прием и място за подаване на проекти;</w:t>
      </w:r>
    </w:p>
    <w:p w:rsidR="00BC6251" w:rsidRPr="00E57D92" w:rsidRDefault="0087389E" w:rsidP="0087389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6.</w:t>
      </w:r>
      <w:r w:rsidR="00BC6251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6. бюджет на приема;</w:t>
      </w:r>
    </w:p>
    <w:p w:rsidR="00BC6251" w:rsidRPr="00E57D92" w:rsidRDefault="0087389E" w:rsidP="0087389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6.</w:t>
      </w:r>
      <w:r w:rsidR="00BC6251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7. минимален и максимален размер на финансовата помощ, предоставяна за проект;</w:t>
      </w:r>
    </w:p>
    <w:p w:rsidR="00BC6251" w:rsidRPr="00E57D92" w:rsidRDefault="0087389E" w:rsidP="0087389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6.</w:t>
      </w:r>
      <w:r w:rsidR="00BC6251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8. критерии за избор на проекти и тяхната тежест;</w:t>
      </w:r>
    </w:p>
    <w:p w:rsidR="00BC6251" w:rsidRPr="00E57D92" w:rsidRDefault="0087389E" w:rsidP="0087389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6.</w:t>
      </w:r>
      <w:r w:rsidR="00BC6251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9. лице/а за контакт и място за достъп до подробна информация.</w:t>
      </w:r>
    </w:p>
    <w:p w:rsidR="00BC6251" w:rsidRDefault="0087389E" w:rsidP="00E57D92">
      <w:pPr>
        <w:spacing w:after="0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87389E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="00BC6251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Периодът за прием на проекти не може да е по-малък от един месец.</w:t>
      </w:r>
    </w:p>
    <w:p w:rsidR="00BC6251" w:rsidRPr="00E57D92" w:rsidRDefault="0087389E" w:rsidP="00E57D92">
      <w:pPr>
        <w:spacing w:after="0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87389E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8.</w:t>
      </w:r>
      <w:r w:rsidR="00BC6251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При обявяване на прием на заявления разполагаемият бюджет на съответната покана се определя като разлика между бюджета по мярката и стойността на финансовата помощ по одобрените от УО или ДФЗ проекти и тази по одобрените от МИГ заявления, за които към момента на обявяване на приема няма решение за предоставяне на финансова помощ от УО или от ДФЗ.</w:t>
      </w:r>
    </w:p>
    <w:p w:rsidR="00BC6251" w:rsidRPr="008742E8" w:rsidRDefault="0087389E" w:rsidP="00E57D92">
      <w:pPr>
        <w:spacing w:after="0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87389E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9.</w:t>
      </w:r>
      <w:r w:rsidR="00BC6251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Местната инициативна група изпраща проекта на покана до УО на програмата, по която се обявява прием, не по-късно </w:t>
      </w:r>
      <w:r w:rsidR="00BC6251" w:rsidRPr="008742E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от 20 работни дни преди началния срок за прием на заявления.</w:t>
      </w:r>
    </w:p>
    <w:p w:rsidR="00BC6251" w:rsidRPr="00E57D92" w:rsidRDefault="0087389E" w:rsidP="00E57D92">
      <w:pPr>
        <w:spacing w:after="0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87389E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10.</w:t>
      </w:r>
      <w:r w:rsidR="00BC6251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Срокът по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т.9 </w:t>
      </w:r>
      <w:r w:rsidR="00BC6251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се смята за спазен, ако поканата е депозирана в деловодството на УО на програма в определения срок. Покана, изпратена по пощата или по куриер, която не е получена в деловодството на УО на програма в посочения срок, се оставя без разглеждане.</w:t>
      </w:r>
    </w:p>
    <w:p w:rsidR="00BC6251" w:rsidRPr="00E57D92" w:rsidRDefault="0087389E" w:rsidP="00E57D92">
      <w:pPr>
        <w:spacing w:after="0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87389E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11.</w:t>
      </w:r>
      <w:r w:rsidR="00BC6251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Управляващият орган на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ПРСР</w:t>
      </w:r>
      <w:r w:rsidR="00BC6251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одобрява поканата за прием на заявления в срок до 10 работни дни от получаването й.</w:t>
      </w:r>
    </w:p>
    <w:p w:rsidR="00BC6251" w:rsidRPr="00E57D92" w:rsidRDefault="0087389E" w:rsidP="00E57D92">
      <w:pPr>
        <w:spacing w:after="0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87389E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12.</w:t>
      </w:r>
      <w:r w:rsidR="00BC6251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При необходимост от допълнителна информация или нередовност, непълнота или неяснота УО на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ПРСР</w:t>
      </w:r>
      <w:r w:rsidR="00BC6251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уведомява МИГ, която в срок до 5 работни дни от получаване на уведомяването може да отстрани констатираните нередовности, непълноти или неясноти и/или да представи допълнителни и/или нови документи и информация, като в този случай срокът по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т.9</w:t>
      </w:r>
      <w:r w:rsidR="00BC6251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спира да тече.</w:t>
      </w:r>
    </w:p>
    <w:p w:rsidR="00BC6251" w:rsidRPr="00E57D92" w:rsidRDefault="0087389E" w:rsidP="00E57D92">
      <w:pPr>
        <w:spacing w:after="0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87389E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13.</w:t>
      </w:r>
      <w:r w:rsidR="00BC6251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Срокът по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т.12 </w:t>
      </w:r>
      <w:r w:rsidR="00BC6251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се смята за спазен, ако допълнителната информация е депозирана в деловодството на УО на програма в определения срок. Документи, изпратени по пощата или по куриер, които не са получени в деловодството на УО на програма в посочения срок, се оставят без разглеждане.</w:t>
      </w:r>
    </w:p>
    <w:p w:rsidR="00430D3A" w:rsidRPr="00E57D92" w:rsidRDefault="0087389E" w:rsidP="00694870">
      <w:pPr>
        <w:spacing w:after="0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430D3A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14.</w:t>
      </w:r>
      <w:r w:rsidR="00BC6251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Одобрената покана се публикува на интернет страниците на МИГ, в </w:t>
      </w:r>
      <w:hyperlink r:id="rId12" w:history="1">
        <w:r w:rsidR="00BC6251" w:rsidRPr="00430D3A">
          <w:rPr>
            <w:rFonts w:ascii="Times New Roman" w:eastAsia="Times New Roman" w:hAnsi="Times New Roman" w:cs="Times New Roman"/>
            <w:sz w:val="24"/>
            <w:szCs w:val="24"/>
            <w:highlight w:val="white"/>
            <w:shd w:val="clear" w:color="auto" w:fill="FEFEFE"/>
          </w:rPr>
          <w:t>ИСУН</w:t>
        </w:r>
      </w:hyperlink>
      <w:r w:rsidR="00430D3A" w:rsidRPr="00430D3A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="00232256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не по-късно от 20 работни дни  преди началната дата на прием на проекти,</w:t>
      </w:r>
      <w:r w:rsidR="00BC6251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най-малко в един местен</w:t>
      </w:r>
      <w:r w:rsidR="00232256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вестник или друга местна медия</w:t>
      </w:r>
      <w:r w:rsidR="00BC6251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както и на общодостъпно място пред офиса на МИГ</w:t>
      </w:r>
      <w:r w:rsidR="00232256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.</w:t>
      </w:r>
      <w:r w:rsidR="00BC6251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</w:p>
    <w:p w:rsidR="00694870" w:rsidRDefault="00430D3A" w:rsidP="00694870">
      <w:pPr>
        <w:spacing w:after="0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430D3A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15.</w:t>
      </w:r>
      <w:r w:rsidR="00BC6251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Заявленията за предоставяне на финансова помощ се подава</w:t>
      </w:r>
      <w:r w:rsidR="00232256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т в срока, определен в поканата</w:t>
      </w:r>
      <w:r w:rsidR="00BC6251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в ИСУН</w:t>
      </w:r>
      <w:r w:rsidR="00232256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2020.</w:t>
      </w:r>
      <w:r w:rsidR="00BC6251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</w:p>
    <w:p w:rsidR="00DF4889" w:rsidRPr="00E57D92" w:rsidRDefault="00694870" w:rsidP="00694870">
      <w:pPr>
        <w:spacing w:after="0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694870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16.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С</w:t>
      </w:r>
      <w:r w:rsidR="00DF4889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ъздава и поддържа електронен регистър за постъпилите проекти по стратегията за ВОМР, в който се отразява състоянието и движението на всеки проект; регистърът се публикува на електронната страница на МИГ;</w:t>
      </w:r>
    </w:p>
    <w:p w:rsidR="00DF4889" w:rsidRPr="00E57D92" w:rsidRDefault="00694870" w:rsidP="00E57D92">
      <w:pPr>
        <w:spacing w:after="0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694870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17.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И</w:t>
      </w:r>
      <w:r w:rsidR="00DF4889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зготвя доклади, анализи, отчети, справки и други във връзка с изпълнението на стратегията за ВОМР, изисква</w:t>
      </w:r>
      <w:r w:rsidR="0019366A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ни от УО на ПРСР 2014 - 2020 г.;</w:t>
      </w:r>
    </w:p>
    <w:p w:rsidR="00DF4889" w:rsidRPr="00ED5A75" w:rsidRDefault="00694870" w:rsidP="00E57D92">
      <w:pPr>
        <w:spacing w:after="0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EFEFE"/>
        </w:rPr>
      </w:pPr>
      <w:r w:rsidRPr="00694870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>18.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В</w:t>
      </w:r>
      <w:r w:rsidR="00DF4889" w:rsidRPr="0069487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срок до 15 февруари на следващата календарна година изготвя и представя на УО на ПРСР 2014 - 2020 г. годишен доклад за отчитане изпълнението на стратегията за ВОМР;</w:t>
      </w:r>
    </w:p>
    <w:p w:rsidR="00DF4889" w:rsidRDefault="00694870" w:rsidP="00E57D92">
      <w:pPr>
        <w:spacing w:after="0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694870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19.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В</w:t>
      </w:r>
      <w:r w:rsidR="00DF4889" w:rsidRPr="00E57D9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ъвежда информация за изпълнението на стратегия за ВОМР, в това число данни на всички постъпили проекти (одобрени и неодобрени), в отделна информационна система, която е функционално свързана с Информационната система за управление и наблюдение на средствата от Структурните инструменти на ЕС в Република България за периода 2014 - 2020 г. (ИСУН 2020);</w:t>
      </w:r>
    </w:p>
    <w:p w:rsidR="00694870" w:rsidRDefault="00694870" w:rsidP="00E57D92">
      <w:pPr>
        <w:spacing w:after="0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:rsidR="00694870" w:rsidRDefault="00694870" w:rsidP="00E57D92">
      <w:pPr>
        <w:spacing w:after="0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:rsidR="009A20E3" w:rsidRPr="00E57D92" w:rsidRDefault="009A20E3" w:rsidP="00E57D9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20E3" w:rsidRPr="00E57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260E2"/>
    <w:multiLevelType w:val="hybridMultilevel"/>
    <w:tmpl w:val="6B12134E"/>
    <w:lvl w:ilvl="0" w:tplc="BD46BB94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>
    <w:nsid w:val="430302DF"/>
    <w:multiLevelType w:val="hybridMultilevel"/>
    <w:tmpl w:val="BF2A28F8"/>
    <w:lvl w:ilvl="0" w:tplc="0402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58D77B0A"/>
    <w:multiLevelType w:val="multilevel"/>
    <w:tmpl w:val="258028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">
    <w:nsid w:val="5B47066A"/>
    <w:multiLevelType w:val="hybridMultilevel"/>
    <w:tmpl w:val="DBB8C2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46A3E"/>
    <w:multiLevelType w:val="multilevel"/>
    <w:tmpl w:val="4FE46F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6191F27"/>
    <w:multiLevelType w:val="multilevel"/>
    <w:tmpl w:val="1AF0F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6B236F52"/>
    <w:multiLevelType w:val="hybridMultilevel"/>
    <w:tmpl w:val="CCA0A42A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862626"/>
    <w:multiLevelType w:val="multilevel"/>
    <w:tmpl w:val="7C8229C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8826B7D"/>
    <w:multiLevelType w:val="multilevel"/>
    <w:tmpl w:val="B6767196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E8C"/>
    <w:rsid w:val="001306C7"/>
    <w:rsid w:val="0019366A"/>
    <w:rsid w:val="00232256"/>
    <w:rsid w:val="00430D3A"/>
    <w:rsid w:val="004A557A"/>
    <w:rsid w:val="005A5E8C"/>
    <w:rsid w:val="00694870"/>
    <w:rsid w:val="006D6110"/>
    <w:rsid w:val="007D6365"/>
    <w:rsid w:val="0087389E"/>
    <w:rsid w:val="008742E8"/>
    <w:rsid w:val="0092008C"/>
    <w:rsid w:val="009742CC"/>
    <w:rsid w:val="009A20E3"/>
    <w:rsid w:val="00AF1454"/>
    <w:rsid w:val="00B12802"/>
    <w:rsid w:val="00B412C3"/>
    <w:rsid w:val="00BC6251"/>
    <w:rsid w:val="00C83825"/>
    <w:rsid w:val="00D62300"/>
    <w:rsid w:val="00DF4889"/>
    <w:rsid w:val="00E57D92"/>
    <w:rsid w:val="00E622F3"/>
    <w:rsid w:val="00EB2832"/>
    <w:rsid w:val="00ED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08C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2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2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08C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2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2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eumis2020.government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ypmig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1790</Words>
  <Characters>10207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</dc:creator>
  <cp:lastModifiedBy>Win7</cp:lastModifiedBy>
  <cp:revision>7</cp:revision>
  <dcterms:created xsi:type="dcterms:W3CDTF">2018-05-16T09:28:00Z</dcterms:created>
  <dcterms:modified xsi:type="dcterms:W3CDTF">2018-07-04T11:03:00Z</dcterms:modified>
</cp:coreProperties>
</file>